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14:paraId="725E1726" w14:textId="77777777" w:rsidTr="00820484">
        <w:trPr>
          <w:trHeight w:val="915"/>
        </w:trPr>
        <w:tc>
          <w:tcPr>
            <w:tcW w:w="5644" w:type="dxa"/>
            <w:vAlign w:val="center"/>
          </w:tcPr>
          <w:p w14:paraId="25938A36" w14:textId="77777777" w:rsidR="00D07D01" w:rsidRPr="009C3D5A" w:rsidRDefault="00E34DEB" w:rsidP="00820484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F5C25">
              <w:rPr>
                <w:rFonts w:asciiTheme="majorHAnsi" w:eastAsiaTheme="majorEastAsia" w:hAnsiTheme="majorHAnsi" w:cstheme="majorBidi"/>
                <w:sz w:val="36"/>
                <w:szCs w:val="36"/>
              </w:rPr>
              <w:t>MAYI</w:t>
            </w:r>
            <w:r w:rsidR="00E07918">
              <w:rPr>
                <w:rFonts w:asciiTheme="majorHAnsi" w:eastAsiaTheme="majorEastAsia" w:hAnsiTheme="majorHAnsi" w:cstheme="majorBidi"/>
                <w:sz w:val="36"/>
                <w:szCs w:val="36"/>
              </w:rPr>
              <w:t>S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14:paraId="2829F872" w14:textId="77777777" w:rsidR="00D07D01" w:rsidRPr="009C3D5A" w:rsidRDefault="00D07D01" w:rsidP="00820484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14:paraId="6D2CFFCC" w14:textId="77777777" w:rsidR="00D07D01" w:rsidRPr="009C3D5A" w:rsidRDefault="00CB0A4D" w:rsidP="001F5C25">
            <w:pPr>
              <w:pStyle w:val="Header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30 </w:t>
            </w:r>
            <w:r w:rsidR="001F5C2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Haziran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1F5C2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70655B45" wp14:editId="7B6B681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14:paraId="1EAB13E7" w14:textId="77777777" w:rsidR="00D07D01" w:rsidRPr="009C3D5A" w:rsidRDefault="00D07D01" w:rsidP="00D07D01">
      <w:pPr>
        <w:pStyle w:val="Header"/>
      </w:pPr>
    </w:p>
    <w:p w14:paraId="24274B94" w14:textId="77777777" w:rsidR="00D07D01" w:rsidRPr="009C3D5A" w:rsidRDefault="00676E49" w:rsidP="008B246F">
      <w:pPr>
        <w:jc w:val="both"/>
        <w:rPr>
          <w:b/>
        </w:rPr>
      </w:pPr>
      <w:r>
        <w:rPr>
          <w:b/>
        </w:rPr>
        <w:t>Mayıs</w:t>
      </w:r>
      <w:r w:rsidR="00D07D01" w:rsidRPr="009C3D5A">
        <w:rPr>
          <w:b/>
        </w:rPr>
        <w:t xml:space="preserve"> 201</w:t>
      </w:r>
      <w:r>
        <w:rPr>
          <w:b/>
        </w:rPr>
        <w:t>7</w:t>
      </w:r>
      <w:r w:rsidR="00037115">
        <w:rPr>
          <w:b/>
        </w:rPr>
        <w:t xml:space="preserve"> d</w:t>
      </w:r>
      <w:bookmarkStart w:id="0" w:name="_GoBack"/>
      <w:bookmarkEnd w:id="0"/>
      <w:r w:rsidR="00D07D01" w:rsidRPr="009C3D5A">
        <w:rPr>
          <w:b/>
        </w:rPr>
        <w:t>ış ticaret istatistiklerine ilişkin veriler Türkiye İstati</w:t>
      </w:r>
      <w:r w:rsidR="00A13941" w:rsidRPr="009C3D5A">
        <w:rPr>
          <w:b/>
        </w:rPr>
        <w:t xml:space="preserve">stik Kurumu (TÜİK) tarafından 30 </w:t>
      </w:r>
      <w:r>
        <w:rPr>
          <w:b/>
        </w:rPr>
        <w:t>Haziran</w:t>
      </w:r>
      <w:r w:rsidR="00D07D01" w:rsidRPr="009C3D5A">
        <w:rPr>
          <w:b/>
        </w:rPr>
        <w:t xml:space="preserve"> 201</w:t>
      </w:r>
      <w:r>
        <w:rPr>
          <w:b/>
        </w:rPr>
        <w:t>7</w:t>
      </w:r>
      <w:r w:rsidR="00D07D01" w:rsidRPr="009C3D5A">
        <w:rPr>
          <w:b/>
        </w:rPr>
        <w:t xml:space="preserve"> tarihinde yayımlandı.</w:t>
      </w:r>
    </w:p>
    <w:p w14:paraId="128B2B42" w14:textId="77777777"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14:paraId="00074930" w14:textId="77777777" w:rsidR="00764636" w:rsidRPr="009C3D5A" w:rsidRDefault="00676E49" w:rsidP="008B246F">
      <w:pPr>
        <w:jc w:val="both"/>
      </w:pPr>
      <w:r>
        <w:t>Mayıs</w:t>
      </w:r>
      <w:r w:rsidR="00764636" w:rsidRPr="009C3D5A">
        <w:t xml:space="preserve"> ayında Türkiye’nin </w:t>
      </w:r>
      <w:r w:rsidR="00672626" w:rsidRPr="009C3D5A">
        <w:t xml:space="preserve">ihracatı </w:t>
      </w:r>
      <w:r w:rsidR="00764636" w:rsidRPr="009C3D5A">
        <w:t>bir önceki yılın aynı ayına göre yü</w:t>
      </w:r>
      <w:r w:rsidR="00DB20D7">
        <w:t xml:space="preserve">zde </w:t>
      </w:r>
      <w:r w:rsidR="002C104F">
        <w:t>12.</w:t>
      </w:r>
      <w:r>
        <w:t>5 artarak 13</w:t>
      </w:r>
      <w:r w:rsidR="00764636" w:rsidRPr="009C3D5A">
        <w:t xml:space="preserve"> milyar</w:t>
      </w:r>
      <w:r>
        <w:t xml:space="preserve"> 616 milyon</w:t>
      </w:r>
      <w:r w:rsidR="00764636" w:rsidRPr="009C3D5A">
        <w:t xml:space="preserve"> dolar olmuştur. </w:t>
      </w:r>
      <w:r>
        <w:t>Mayıs</w:t>
      </w:r>
      <w:r w:rsidR="002157EE" w:rsidRPr="009C3D5A">
        <w:t xml:space="preserve"> ayı </w:t>
      </w:r>
      <w:r w:rsidR="000E09A3">
        <w:t>ithalatı</w:t>
      </w:r>
      <w:r w:rsidR="00DB20D7">
        <w:t xml:space="preserve"> da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21</w:t>
      </w:r>
      <w:r w:rsidR="002C104F">
        <w:t>.</w:t>
      </w:r>
      <w:r>
        <w:t>7 artarak 20</w:t>
      </w:r>
      <w:r w:rsidR="00DB20D7">
        <w:t xml:space="preserve"> milyar</w:t>
      </w:r>
      <w:r>
        <w:t xml:space="preserve"> 923 milyon</w:t>
      </w:r>
      <w:r w:rsidR="00DB20D7">
        <w:t xml:space="preserve"> dolar olmuştur</w:t>
      </w:r>
      <w:r w:rsidR="002157EE" w:rsidRPr="009C3D5A">
        <w:t>.</w:t>
      </w:r>
      <w:r w:rsidR="00B61CAE" w:rsidRPr="009C3D5A">
        <w:t xml:space="preserve"> </w:t>
      </w:r>
      <w:r w:rsidR="000E09A3">
        <w:t xml:space="preserve">Buna göre </w:t>
      </w:r>
      <w:r>
        <w:t>Mayıs</w:t>
      </w:r>
      <w:r w:rsidR="00DB20D7">
        <w:t xml:space="preserve"> ayı dış ticaret açığı,</w:t>
      </w:r>
      <w:r w:rsidR="008B246F" w:rsidRPr="009C3D5A">
        <w:t xml:space="preserve"> yüzde </w:t>
      </w:r>
      <w:r w:rsidR="002C104F">
        <w:t>43.</w:t>
      </w:r>
      <w:r>
        <w:t>3</w:t>
      </w:r>
      <w:r w:rsidR="00024E59" w:rsidRPr="009C3D5A">
        <w:t xml:space="preserve"> </w:t>
      </w:r>
      <w:r>
        <w:t>arta</w:t>
      </w:r>
      <w:r w:rsidR="00DB20D7">
        <w:t>rak</w:t>
      </w:r>
      <w:r w:rsidR="00024E59" w:rsidRPr="009C3D5A">
        <w:t xml:space="preserve"> </w:t>
      </w:r>
      <w:r>
        <w:t>7</w:t>
      </w:r>
      <w:r w:rsidR="00024E59" w:rsidRPr="009C3D5A">
        <w:t xml:space="preserve"> milyar </w:t>
      </w:r>
      <w:r>
        <w:t>307</w:t>
      </w:r>
      <w:r w:rsidR="00DB20D7">
        <w:t xml:space="preserve"> milyon dolar</w:t>
      </w:r>
      <w:r>
        <w:t xml:space="preserve">a yükseldi. </w:t>
      </w:r>
      <w:r w:rsidR="002C104F">
        <w:t xml:space="preserve">2016 Mayıs ayında yüzde </w:t>
      </w:r>
      <w:r w:rsidR="0023568E">
        <w:t>70,4 olan ihracatın ithalatı karşılama oranı ise 2017 Ma</w:t>
      </w:r>
      <w:r w:rsidR="002C104F">
        <w:t>yıs ayında yüzde 65.</w:t>
      </w:r>
      <w:r w:rsidR="0023568E">
        <w:t xml:space="preserve">1’e </w:t>
      </w:r>
      <w:r w:rsidR="008F7528">
        <w:t>geriledi</w:t>
      </w:r>
      <w:r w:rsidR="0023568E">
        <w:t>.</w:t>
      </w:r>
    </w:p>
    <w:p w14:paraId="328F717B" w14:textId="77777777"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676E49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Ocak-Mayıs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14:paraId="44015A9F" w14:textId="77777777" w:rsidR="00BB3701" w:rsidRPr="009C3D5A" w:rsidRDefault="00B861B5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28433B5" wp14:editId="04C09760">
            <wp:extent cx="5918200" cy="2429933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FE4C33" w14:textId="77777777"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14:paraId="70BDEA1C" w14:textId="77777777"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14:paraId="40CB2D1C" w14:textId="77777777"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Ocak-Mayıs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14:paraId="4D8E5C2B" w14:textId="77777777" w:rsidR="00DB359A" w:rsidRPr="008D17ED" w:rsidRDefault="00867C7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B7BF193" wp14:editId="0CEF7AFC">
            <wp:extent cx="5816600" cy="2633133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B359A"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="00DB359A"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14:paraId="6972C505" w14:textId="77777777" w:rsidR="00501781" w:rsidRPr="00E86C2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lastRenderedPageBreak/>
        <w:t>İhracat rakamları 2017 içer</w:t>
      </w:r>
      <w:r w:rsidR="008D17ED">
        <w:t>isinde dalgalı bir seyir izlese de artışını sürdürüyor</w:t>
      </w:r>
      <w:r w:rsidRPr="00E86C2E">
        <w:t>.</w:t>
      </w:r>
      <w:r>
        <w:t xml:space="preserve"> Bir önceki aya göre </w:t>
      </w:r>
      <w:r w:rsidR="002C104F">
        <w:t>yüzde 5.</w:t>
      </w:r>
      <w:r w:rsidR="008D17ED">
        <w:t>8</w:t>
      </w:r>
      <w:r>
        <w:t>; bir önceki yıl</w:t>
      </w:r>
      <w:r w:rsidR="002C104F">
        <w:t>ın aynı ayına göre ise yüzde 12.</w:t>
      </w:r>
      <w:r>
        <w:t>5 artış gösteren ihracat</w:t>
      </w:r>
      <w:r w:rsidR="008D17ED">
        <w:t>,</w:t>
      </w:r>
      <w:r w:rsidR="002C104F">
        <w:t xml:space="preserve"> 2017 Mayıs ayında 13.</w:t>
      </w:r>
      <w:r>
        <w:t>62 milyar dolara ulaş</w:t>
      </w:r>
      <w:r w:rsidR="008D17ED">
        <w:t>mış</w:t>
      </w:r>
      <w:r>
        <w:t>tı</w:t>
      </w:r>
      <w:r w:rsidR="008D17ED">
        <w:t>r</w:t>
      </w:r>
      <w:r>
        <w:t xml:space="preserve">. 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 </w:t>
      </w:r>
      <w:r>
        <w:t>yükseliş göstermiş</w:t>
      </w:r>
      <w:r w:rsidR="002C104F">
        <w:t>,</w:t>
      </w:r>
      <w:r>
        <w:t xml:space="preserve"> </w:t>
      </w:r>
      <w:r w:rsidR="00DB359A">
        <w:t>Mayıs ayında ise yılın en yüksek seviyesine ulaşmıştır. 2017</w:t>
      </w:r>
      <w:r w:rsidR="00DB359A" w:rsidRPr="009C3D5A">
        <w:t xml:space="preserve"> </w:t>
      </w:r>
      <w:r w:rsidR="002C104F">
        <w:t>Nisan ayında 17.</w:t>
      </w:r>
      <w:r w:rsidR="00DB359A">
        <w:t>8</w:t>
      </w:r>
      <w:r w:rsidR="00DB359A" w:rsidRPr="009C3D5A">
        <w:t xml:space="preserve"> milyar dolar olan ithalat</w:t>
      </w:r>
      <w:r w:rsidR="00DB359A">
        <w:t>,</w:t>
      </w:r>
      <w:r w:rsidR="00DB359A" w:rsidRPr="009C3D5A">
        <w:t xml:space="preserve"> yüz</w:t>
      </w:r>
      <w:r w:rsidR="002C104F">
        <w:t>de 17.</w:t>
      </w:r>
      <w:r w:rsidR="00DB359A">
        <w:t>6</w:t>
      </w:r>
      <w:r w:rsidR="00DB359A" w:rsidRPr="009C3D5A">
        <w:t xml:space="preserve"> </w:t>
      </w:r>
      <w:r w:rsidR="00DB359A">
        <w:t>artarak</w:t>
      </w:r>
      <w:r w:rsidR="00DB359A" w:rsidRPr="009C3D5A">
        <w:t xml:space="preserve"> </w:t>
      </w:r>
      <w:r w:rsidR="002C104F">
        <w:t>Mayıs ayında 20.</w:t>
      </w:r>
      <w:r w:rsidR="00DB359A">
        <w:t>9</w:t>
      </w:r>
      <w:r w:rsidR="00DB359A" w:rsidRPr="009C3D5A">
        <w:t xml:space="preserve"> milyar dolara </w:t>
      </w:r>
      <w:r w:rsidR="00DB359A">
        <w:t>yükselmiştir</w:t>
      </w:r>
      <w:r w:rsidR="00DB359A" w:rsidRPr="009C3D5A">
        <w:t xml:space="preserve">. Bir önceki yılın aynı ayına göre </w:t>
      </w:r>
      <w:r w:rsidR="00DB359A">
        <w:t>de ithalat artışı</w:t>
      </w:r>
      <w:r w:rsidR="00DB359A" w:rsidRPr="009C3D5A">
        <w:t xml:space="preserve"> devam etmektedir.</w:t>
      </w:r>
      <w:r w:rsidR="00DB359A">
        <w:t>2016</w:t>
      </w:r>
      <w:r w:rsidR="00DB359A" w:rsidRPr="009C3D5A">
        <w:t xml:space="preserve"> </w:t>
      </w:r>
      <w:r w:rsidR="002C104F">
        <w:t>Mayıs ayında 17.</w:t>
      </w:r>
      <w:r w:rsidR="00DB359A">
        <w:t>2</w:t>
      </w:r>
      <w:r w:rsidR="00DB359A" w:rsidRPr="009C3D5A">
        <w:t xml:space="preserve"> milyar dolar olan ithalat rakamı yüzde </w:t>
      </w:r>
      <w:r w:rsidR="002C104F">
        <w:t>21.</w:t>
      </w:r>
      <w:r w:rsidR="00DB359A">
        <w:t>7 arta</w:t>
      </w:r>
      <w:r w:rsidR="00DB359A" w:rsidRPr="009C3D5A">
        <w:t xml:space="preserve">rak </w:t>
      </w:r>
      <w:r w:rsidR="002C104F">
        <w:t>20.</w:t>
      </w:r>
      <w:r w:rsidR="00DB359A">
        <w:t>9 milyar dolara yükselmiştir</w:t>
      </w:r>
      <w:r w:rsidR="00DB359A" w:rsidRPr="009C3D5A">
        <w:t xml:space="preserve">. </w:t>
      </w:r>
    </w:p>
    <w:p w14:paraId="72FD4421" w14:textId="77777777"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14:paraId="792B94BB" w14:textId="77777777" w:rsidR="00501781" w:rsidRPr="006006DA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C608C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</w:t>
      </w:r>
      <w:r w:rsidR="002C104F">
        <w:rPr>
          <w:rFonts w:eastAsia="Times New Roman" w:cs="Times New Roman"/>
          <w:b/>
          <w:bCs/>
          <w:kern w:val="36"/>
          <w:sz w:val="24"/>
          <w:szCs w:val="24"/>
        </w:rPr>
        <w:t>milyon</w:t>
      </w:r>
      <w:r w:rsidR="006006DA">
        <w:rPr>
          <w:rFonts w:eastAsia="Times New Roman" w:cs="Times New Roman"/>
          <w:b/>
          <w:bCs/>
          <w:kern w:val="36"/>
          <w:sz w:val="24"/>
          <w:szCs w:val="24"/>
        </w:rPr>
        <w:t xml:space="preserve"> $  (2017 Mayıs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582"/>
        <w:gridCol w:w="1478"/>
        <w:gridCol w:w="1783"/>
      </w:tblGrid>
      <w:tr w:rsidR="0060716F" w:rsidRPr="0060716F" w14:paraId="7FEFB905" w14:textId="77777777" w:rsidTr="009E6645">
        <w:trPr>
          <w:trHeight w:val="213"/>
        </w:trPr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17F5B5C2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Sıra</w:t>
            </w:r>
          </w:p>
        </w:tc>
        <w:tc>
          <w:tcPr>
            <w:tcW w:w="14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484A95A3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Ülke</w:t>
            </w:r>
          </w:p>
        </w:tc>
        <w:tc>
          <w:tcPr>
            <w:tcW w:w="17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05B76F6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</w:tr>
      <w:tr w:rsidR="0060716F" w:rsidRPr="0060716F" w14:paraId="02FA4E72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A99E62F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D206C2B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Almanya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9852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1,237</w:t>
            </w:r>
          </w:p>
        </w:tc>
      </w:tr>
      <w:tr w:rsidR="0060716F" w:rsidRPr="0060716F" w14:paraId="1B154B7F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7A017EC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3C28E88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BAE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C10F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1,038</w:t>
            </w:r>
          </w:p>
        </w:tc>
      </w:tr>
      <w:tr w:rsidR="0060716F" w:rsidRPr="0060716F" w14:paraId="778B7C89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1AFE01F5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D9DDE09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ABD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C46E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color w:val="000000"/>
                <w:lang w:val="en-US" w:eastAsia="en-US"/>
              </w:rPr>
              <w:t>858</w:t>
            </w:r>
          </w:p>
        </w:tc>
      </w:tr>
      <w:tr w:rsidR="0060716F" w:rsidRPr="0060716F" w14:paraId="0EE2CBA5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D358609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963E142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Irak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8096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color w:val="000000"/>
                <w:lang w:val="en-US" w:eastAsia="en-US"/>
              </w:rPr>
              <w:t>83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</w:tr>
      <w:tr w:rsidR="0060716F" w:rsidRPr="0060716F" w14:paraId="3730444A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DAB218E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933094C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İngiltere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71BD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783</w:t>
            </w:r>
          </w:p>
        </w:tc>
      </w:tr>
      <w:tr w:rsidR="0060716F" w:rsidRPr="0060716F" w14:paraId="404EE555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1B8A28C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340C2A1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İtalya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784C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705</w:t>
            </w:r>
          </w:p>
        </w:tc>
      </w:tr>
      <w:tr w:rsidR="0060716F" w:rsidRPr="0060716F" w14:paraId="05A430D1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DC0D309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96CBBFC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Fransa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A9D5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567</w:t>
            </w:r>
          </w:p>
        </w:tc>
      </w:tr>
      <w:tr w:rsidR="0060716F" w:rsidRPr="0060716F" w14:paraId="32A156E4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6F16CA4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76E17138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İspanya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608A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509</w:t>
            </w:r>
          </w:p>
        </w:tc>
      </w:tr>
      <w:tr w:rsidR="0060716F" w:rsidRPr="0060716F" w14:paraId="53526FCC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28F2A9D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7962B54E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Hollanda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5D4E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294</w:t>
            </w:r>
          </w:p>
        </w:tc>
      </w:tr>
      <w:tr w:rsidR="0060716F" w:rsidRPr="0060716F" w14:paraId="5E22B064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1C97C59F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05851671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İsrail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B0EF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</w:tr>
      <w:tr w:rsidR="0060716F" w:rsidRPr="0060716F" w14:paraId="0345D272" w14:textId="77777777" w:rsidTr="009E6645">
        <w:trPr>
          <w:trHeight w:val="21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7EC" w14:textId="77777777" w:rsidR="0060716F" w:rsidRPr="0060716F" w:rsidRDefault="0060716F" w:rsidP="0060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DC972A4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EBCC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13,616</w:t>
            </w:r>
          </w:p>
        </w:tc>
      </w:tr>
    </w:tbl>
    <w:tbl>
      <w:tblPr>
        <w:tblpPr w:leftFromText="180" w:rightFromText="180" w:vertAnchor="text" w:horzAnchor="page" w:tblpX="5453" w:tblpY="-3301"/>
        <w:tblW w:w="4060" w:type="dxa"/>
        <w:tblLook w:val="04A0" w:firstRow="1" w:lastRow="0" w:firstColumn="1" w:lastColumn="0" w:noHBand="0" w:noVBand="1"/>
      </w:tblPr>
      <w:tblGrid>
        <w:gridCol w:w="561"/>
        <w:gridCol w:w="244"/>
        <w:gridCol w:w="1391"/>
        <w:gridCol w:w="1891"/>
      </w:tblGrid>
      <w:tr w:rsidR="0060716F" w:rsidRPr="0060716F" w14:paraId="1B1D5D49" w14:textId="77777777" w:rsidTr="009E6645">
        <w:trPr>
          <w:trHeight w:val="157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8A71105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Sıra</w:t>
            </w:r>
          </w:p>
        </w:tc>
        <w:tc>
          <w:tcPr>
            <w:tcW w:w="16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C44A9BD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Ülke</w:t>
            </w:r>
          </w:p>
        </w:tc>
        <w:tc>
          <w:tcPr>
            <w:tcW w:w="189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613075A0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</w:tr>
      <w:tr w:rsidR="0060716F" w:rsidRPr="0060716F" w14:paraId="32936F4F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0906B0C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F6787AC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Çin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A2EE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1,930</w:t>
            </w:r>
          </w:p>
        </w:tc>
      </w:tr>
      <w:tr w:rsidR="0060716F" w:rsidRPr="0060716F" w14:paraId="3E543F66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D220449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7D0B5582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Almanya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5922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1,816</w:t>
            </w:r>
          </w:p>
        </w:tc>
      </w:tr>
      <w:tr w:rsidR="0060716F" w:rsidRPr="0060716F" w14:paraId="510FA653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411101EC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4839AB8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Rusya Fed.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5279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1,455</w:t>
            </w:r>
          </w:p>
        </w:tc>
      </w:tr>
      <w:tr w:rsidR="0060716F" w:rsidRPr="0060716F" w14:paraId="06688745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606CAB19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3ECBBF8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ABD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E36C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color w:val="000000"/>
                <w:lang w:val="en-US" w:eastAsia="en-US"/>
              </w:rPr>
              <w:t>1,165</w:t>
            </w:r>
          </w:p>
        </w:tc>
      </w:tr>
      <w:tr w:rsidR="0060716F" w:rsidRPr="0060716F" w14:paraId="3AAF5694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31A1E3B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C06B82A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İsviçre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117A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1,132</w:t>
            </w:r>
          </w:p>
        </w:tc>
      </w:tr>
      <w:tr w:rsidR="0060716F" w:rsidRPr="0060716F" w14:paraId="7420B7B3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3993CC3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8BCEC3D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İtalya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D379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1,021</w:t>
            </w:r>
          </w:p>
        </w:tc>
      </w:tr>
      <w:tr w:rsidR="0060716F" w:rsidRPr="0060716F" w14:paraId="178A6D17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63439B4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C96629E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Gizli Ülke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1206" w14:textId="77777777" w:rsidR="0060716F" w:rsidRPr="0060716F" w:rsidRDefault="0060716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color w:val="000000"/>
                <w:lang w:val="en-US" w:eastAsia="en-US"/>
              </w:rPr>
              <w:t>68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</w:tr>
      <w:tr w:rsidR="0060716F" w:rsidRPr="0060716F" w14:paraId="5878C8AC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487B70A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585D080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Fransa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9E7D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673</w:t>
            </w:r>
          </w:p>
        </w:tc>
      </w:tr>
      <w:tr w:rsidR="0060716F" w:rsidRPr="0060716F" w14:paraId="16184FE1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2CB74F38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0F66DDEE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İran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AAFB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659</w:t>
            </w:r>
          </w:p>
        </w:tc>
      </w:tr>
      <w:tr w:rsidR="0060716F" w:rsidRPr="0060716F" w14:paraId="026CDE25" w14:textId="77777777" w:rsidTr="009E6645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DBD2568" w14:textId="77777777" w:rsidR="0060716F" w:rsidRPr="0060716F" w:rsidRDefault="0060716F" w:rsidP="009E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C50E93D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İngiltere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968F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571</w:t>
            </w:r>
          </w:p>
        </w:tc>
      </w:tr>
      <w:tr w:rsidR="0060716F" w:rsidRPr="0060716F" w14:paraId="5A99F1D5" w14:textId="77777777" w:rsidTr="0060716F">
        <w:trPr>
          <w:trHeight w:val="157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E07" w14:textId="77777777" w:rsidR="0060716F" w:rsidRPr="0060716F" w:rsidRDefault="0060716F" w:rsidP="0060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E5C68F2" w14:textId="77777777" w:rsidR="0060716F" w:rsidRPr="0060716F" w:rsidRDefault="0060716F" w:rsidP="0060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60716F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D173" w14:textId="77777777" w:rsidR="0060716F" w:rsidRPr="0060716F" w:rsidRDefault="002C104F" w:rsidP="009E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20,924</w:t>
            </w:r>
          </w:p>
        </w:tc>
      </w:tr>
    </w:tbl>
    <w:p w14:paraId="5EDF560A" w14:textId="77777777" w:rsidR="00EB3D95" w:rsidRDefault="00EB3D95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14:paraId="38F4996C" w14:textId="77777777"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14:paraId="1AAE8B45" w14:textId="77777777" w:rsidR="0060716F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14:paraId="35219109" w14:textId="77777777"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14:paraId="63C5DE3C" w14:textId="77777777" w:rsidR="00D074EA" w:rsidRDefault="008D17ED" w:rsidP="00E27E57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CC376F" w:rsidRPr="009C3D5A">
        <w:t xml:space="preserve"> </w:t>
      </w:r>
      <w:r w:rsidR="006006DA">
        <w:t>Mayıs</w:t>
      </w:r>
      <w:r>
        <w:t xml:space="preserve"> 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2C104F">
        <w:t>.</w:t>
      </w:r>
      <w:r w:rsidR="006006DA">
        <w:t>2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</w:t>
      </w:r>
      <w:r w:rsidR="002C104F">
        <w:t xml:space="preserve">onu </w:t>
      </w:r>
      <w:r w:rsidR="00955246" w:rsidRPr="009C3D5A">
        <w:t>sırası ile</w:t>
      </w:r>
      <w:r w:rsidR="006E7CD2" w:rsidRPr="009C3D5A">
        <w:t xml:space="preserve"> </w:t>
      </w:r>
      <w:r w:rsidR="006006DA">
        <w:t>Birleşik Arap Emirlikleri</w:t>
      </w:r>
      <w:r w:rsidR="002C104F">
        <w:t xml:space="preserve"> (1</w:t>
      </w:r>
      <w:r w:rsidR="002C104F" w:rsidRPr="009C3D5A">
        <w:t xml:space="preserve"> </w:t>
      </w:r>
      <w:r w:rsidR="002C104F">
        <w:t>milyar dolar)</w:t>
      </w:r>
      <w:r w:rsidR="00955246" w:rsidRPr="009C3D5A">
        <w:t xml:space="preserve">, </w:t>
      </w:r>
      <w:r w:rsidR="006006DA">
        <w:t>ABD</w:t>
      </w:r>
      <w:r w:rsidR="002C104F">
        <w:t xml:space="preserve"> (858.2</w:t>
      </w:r>
      <w:r w:rsidR="002C104F" w:rsidRPr="009C3D5A">
        <w:t xml:space="preserve"> </w:t>
      </w:r>
      <w:r w:rsidR="002C104F">
        <w:t>milyon</w:t>
      </w:r>
      <w:r w:rsidR="002C104F" w:rsidRPr="009C3D5A">
        <w:t xml:space="preserve"> dolar</w:t>
      </w:r>
      <w:r w:rsidR="002C104F">
        <w:t>)</w:t>
      </w:r>
      <w:r w:rsidR="00955246" w:rsidRPr="009C3D5A">
        <w:t xml:space="preserve"> ve</w:t>
      </w:r>
      <w:r w:rsidR="006E7CD2" w:rsidRPr="009C3D5A">
        <w:t xml:space="preserve"> </w:t>
      </w:r>
      <w:r w:rsidR="006006DA">
        <w:t>Irak</w:t>
      </w:r>
      <w:r w:rsidR="002C104F">
        <w:t xml:space="preserve"> (830.8 milyon</w:t>
      </w:r>
      <w:r w:rsidR="002C104F" w:rsidRPr="009C3D5A">
        <w:t xml:space="preserve"> dolar</w:t>
      </w:r>
      <w:r w:rsidR="002C104F">
        <w:t>)</w:t>
      </w:r>
      <w:r w:rsidR="00955246" w:rsidRPr="009C3D5A">
        <w:t xml:space="preserve"> takip etmektedir. İth</w:t>
      </w:r>
      <w:r w:rsidR="006006DA">
        <w:t>alatta ise Çin lider konumdadır.</w:t>
      </w:r>
      <w:r w:rsidR="002C104F">
        <w:t xml:space="preserve"> Türkiye’nin 2017</w:t>
      </w:r>
      <w:r w:rsidR="006D5432" w:rsidRPr="009C3D5A">
        <w:t xml:space="preserve"> </w:t>
      </w:r>
      <w:r w:rsidR="006006DA">
        <w:t>Mayıs</w:t>
      </w:r>
      <w:r w:rsidR="00955246" w:rsidRPr="009C3D5A">
        <w:t xml:space="preserve"> ayında Çin’den yaptığı ithalat </w:t>
      </w:r>
      <w:r w:rsidR="002C104F">
        <w:t>1.</w:t>
      </w:r>
      <w:r w:rsidR="00501781">
        <w:t>9</w:t>
      </w:r>
      <w:r w:rsidR="00955246" w:rsidRPr="009C3D5A">
        <w:t xml:space="preserve"> milyar dolar olup Çin’i sırası ile </w:t>
      </w:r>
      <w:r w:rsidR="00501781">
        <w:t>Almanya</w:t>
      </w:r>
      <w:r w:rsidR="002C104F">
        <w:t xml:space="preserve"> (1.8 milyar dolar)</w:t>
      </w:r>
      <w:r w:rsidR="00955246" w:rsidRPr="009C3D5A">
        <w:t xml:space="preserve">, </w:t>
      </w:r>
      <w:r w:rsidR="00501781">
        <w:t>Rusya</w:t>
      </w:r>
      <w:r w:rsidR="002C104F">
        <w:t xml:space="preserve"> (1.5 milyar dolar)</w:t>
      </w:r>
      <w:r w:rsidR="006006DA">
        <w:t xml:space="preserve"> ve </w:t>
      </w:r>
      <w:r>
        <w:t>ABD</w:t>
      </w:r>
      <w:r w:rsidR="002C104F">
        <w:t xml:space="preserve"> (1.2 milyar dolar)</w:t>
      </w:r>
      <w:r w:rsidR="00955246" w:rsidRPr="009C3D5A">
        <w:t xml:space="preserve"> takip etmektedir. </w:t>
      </w:r>
    </w:p>
    <w:p w14:paraId="38EB8714" w14:textId="77777777" w:rsidR="00D074EA" w:rsidRPr="00D074EA" w:rsidRDefault="00D074EA" w:rsidP="00D074E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dış ticaret, </w:t>
      </w:r>
      <w:r w:rsidR="002C104F">
        <w:rPr>
          <w:rFonts w:eastAsia="Times New Roman" w:cs="Times New Roman"/>
          <w:b/>
          <w:bCs/>
          <w:kern w:val="36"/>
          <w:sz w:val="24"/>
          <w:szCs w:val="24"/>
        </w:rPr>
        <w:t>milyon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C104F">
        <w:rPr>
          <w:rFonts w:eastAsia="Times New Roman" w:cs="Times New Roman"/>
          <w:b/>
          <w:bCs/>
          <w:kern w:val="36"/>
          <w:sz w:val="24"/>
          <w:szCs w:val="24"/>
        </w:rPr>
        <w:t>Mayıs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pPr w:leftFromText="180" w:rightFromText="180" w:vertAnchor="text" w:horzAnchor="margin" w:tblpY="405"/>
        <w:tblW w:w="9283" w:type="dxa"/>
        <w:tblLook w:val="04A0" w:firstRow="1" w:lastRow="0" w:firstColumn="1" w:lastColumn="0" w:noHBand="0" w:noVBand="1"/>
      </w:tblPr>
      <w:tblGrid>
        <w:gridCol w:w="654"/>
        <w:gridCol w:w="7377"/>
        <w:gridCol w:w="1252"/>
      </w:tblGrid>
      <w:tr w:rsidR="00D074EA" w:rsidRPr="009E6645" w14:paraId="692C7643" w14:textId="77777777" w:rsidTr="00D074EA">
        <w:trPr>
          <w:trHeight w:val="271"/>
        </w:trPr>
        <w:tc>
          <w:tcPr>
            <w:tcW w:w="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EA9D798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SITC</w:t>
            </w:r>
          </w:p>
        </w:tc>
        <w:tc>
          <w:tcPr>
            <w:tcW w:w="7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14C0A715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SITC adı</w:t>
            </w:r>
          </w:p>
        </w:tc>
        <w:tc>
          <w:tcPr>
            <w:tcW w:w="125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DD68155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</w:tr>
      <w:tr w:rsidR="00D074EA" w:rsidRPr="009E6645" w14:paraId="548A6A76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69C1E71E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78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ECC50A0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</w:t>
            </w:r>
            <w:r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rlu kara taşıtları, bisiklet ve</w:t>
            </w: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motosikletler, bunların aksam ve parçası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E517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2,141</w:t>
            </w:r>
          </w:p>
        </w:tc>
      </w:tr>
      <w:tr w:rsidR="00D074EA" w:rsidRPr="009E6645" w14:paraId="53F15045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D23192A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84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26895A78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Giyim eşyası ve bunların aksesuarları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6AE2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1,24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</w:tr>
      <w:tr w:rsidR="00D074EA" w:rsidRPr="009E6645" w14:paraId="3FBB979E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6BA13DC2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65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23CB1B63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Teksitil ürünleri (iplik, kumaş, yer kaplamaları, hazır eşya)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6B9F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96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</w:tr>
      <w:tr w:rsidR="00D074EA" w:rsidRPr="009E6645" w14:paraId="3C9FB9AB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1AB44E9C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67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23871B8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 ve çelik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586B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841</w:t>
            </w:r>
          </w:p>
        </w:tc>
      </w:tr>
      <w:tr w:rsidR="00D074EA" w:rsidRPr="009E6645" w14:paraId="4682158E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6A2A2D2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77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84D39FE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Elektrik makinaları,cihazları ve aletleri, vbaksam,parçaları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87BD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73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</w:tr>
      <w:tr w:rsidR="00D074EA" w:rsidRPr="009E6645" w14:paraId="0A5B040C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781D5C3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89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AF23FE8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Başka yerde belirtilmeyen çeşitli mamül eşyalar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653F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642</w:t>
            </w:r>
          </w:p>
        </w:tc>
      </w:tr>
      <w:tr w:rsidR="00D074EA" w:rsidRPr="009E6645" w14:paraId="53E10982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60B6F1E3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97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56A6DC6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Altın,parasal olmayan (altın madeni ve konsantreleri hariç)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3CBE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590</w:t>
            </w:r>
          </w:p>
        </w:tc>
      </w:tr>
      <w:tr w:rsidR="00D074EA" w:rsidRPr="009E6645" w14:paraId="4F99A809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B369AD0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79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78DE0E8D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Demir, deniz, havayolu taşıtları ile bunların aksam, parçaları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3420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571</w:t>
            </w:r>
          </w:p>
        </w:tc>
      </w:tr>
      <w:tr w:rsidR="00D074EA" w:rsidRPr="009E6645" w14:paraId="08FFF89B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4D03736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69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2E2F991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Demir, çelik, bakır, nikel, aluminyum ve diğer adi metallerden eşya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1F8B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511</w:t>
            </w:r>
          </w:p>
        </w:tc>
      </w:tr>
      <w:tr w:rsidR="00D074EA" w:rsidRPr="009E6645" w14:paraId="5C138AB3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EF1155E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1CDA6CA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Meyve ve sebzeler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85F3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452</w:t>
            </w:r>
          </w:p>
        </w:tc>
      </w:tr>
      <w:tr w:rsidR="00D074EA" w:rsidRPr="009E6645" w14:paraId="16C0EDA5" w14:textId="77777777" w:rsidTr="00D074EA">
        <w:trPr>
          <w:trHeight w:val="27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38B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37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D7248A1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0926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13,616</w:t>
            </w:r>
          </w:p>
        </w:tc>
      </w:tr>
    </w:tbl>
    <w:p w14:paraId="026989B8" w14:textId="77777777" w:rsidR="009E6645" w:rsidRDefault="009E6645" w:rsidP="00E27E57">
      <w:pPr>
        <w:jc w:val="both"/>
      </w:pPr>
    </w:p>
    <w:p w14:paraId="25D502DB" w14:textId="77777777" w:rsidR="009E6645" w:rsidRDefault="009E6645" w:rsidP="00E27E57">
      <w:pPr>
        <w:jc w:val="both"/>
      </w:pPr>
    </w:p>
    <w:tbl>
      <w:tblPr>
        <w:tblpPr w:leftFromText="180" w:rightFromText="180" w:vertAnchor="text" w:horzAnchor="margin" w:tblpY="-282"/>
        <w:tblW w:w="9087" w:type="dxa"/>
        <w:tblLook w:val="04A0" w:firstRow="1" w:lastRow="0" w:firstColumn="1" w:lastColumn="0" w:noHBand="0" w:noVBand="1"/>
      </w:tblPr>
      <w:tblGrid>
        <w:gridCol w:w="621"/>
        <w:gridCol w:w="7191"/>
        <w:gridCol w:w="1275"/>
      </w:tblGrid>
      <w:tr w:rsidR="00D074EA" w:rsidRPr="009E6645" w14:paraId="4F855640" w14:textId="77777777" w:rsidTr="00D074EA">
        <w:trPr>
          <w:trHeight w:val="106"/>
        </w:trPr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7DB4913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lastRenderedPageBreak/>
              <w:t>SITC</w:t>
            </w:r>
          </w:p>
        </w:tc>
        <w:tc>
          <w:tcPr>
            <w:tcW w:w="7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28F539E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SITC adı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F8795A9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</w:tr>
      <w:tr w:rsidR="00D074EA" w:rsidRPr="009E6645" w14:paraId="795D5629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494AB7A1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97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2738849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Altın,parasal olmayan (altın madeni ve konsantreleri hariç)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2878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2,143</w:t>
            </w:r>
          </w:p>
        </w:tc>
      </w:tr>
      <w:tr w:rsidR="00D074EA" w:rsidRPr="009E6645" w14:paraId="7EDA0E6A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CBF698B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39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2640BCB5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Gizli veri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42F9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1,697</w:t>
            </w:r>
          </w:p>
        </w:tc>
      </w:tr>
      <w:tr w:rsidR="00D074EA" w:rsidRPr="009E6645" w14:paraId="119DB0C8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E67EF0C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78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44A609F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Motorlu kara taşıtları, bisiklet ver motosikletler, bunların aksam ve parçası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959D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1,464</w:t>
            </w:r>
          </w:p>
        </w:tc>
      </w:tr>
      <w:tr w:rsidR="00D074EA" w:rsidRPr="009E6645" w14:paraId="45C76BC4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6993AF29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77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1B3B52C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Elektrik makinaları,cihazları ve aletleri, vbaksam,parçaları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4DCC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1,050</w:t>
            </w:r>
          </w:p>
        </w:tc>
      </w:tr>
      <w:tr w:rsidR="00D074EA" w:rsidRPr="009E6645" w14:paraId="0CC80CAB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E7E242F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57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83EDAB8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İlk şekillerde plastikler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8ECC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902</w:t>
            </w:r>
          </w:p>
        </w:tc>
      </w:tr>
      <w:tr w:rsidR="00D074EA" w:rsidRPr="009E6645" w14:paraId="3C1EF8DA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19AA674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67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4F0A208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 ve çelik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EA58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878</w:t>
            </w:r>
          </w:p>
        </w:tc>
      </w:tr>
      <w:tr w:rsidR="00D074EA" w:rsidRPr="009E6645" w14:paraId="6FD86356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B3D9698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74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4C6FF10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Diğer genel endüstri makina/cihazların aksamları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EB57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87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</w:tr>
      <w:tr w:rsidR="00D074EA" w:rsidRPr="009E6645" w14:paraId="7C8EC90D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B67C876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33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7823833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Petrol, petrolden elde edilen ürünler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D47F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795</w:t>
            </w:r>
          </w:p>
        </w:tc>
      </w:tr>
      <w:tr w:rsidR="00D074EA" w:rsidRPr="009E6645" w14:paraId="7D40E95D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CC3EB6A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71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32B065E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Güç üreten makineler ve araçlar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1B37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763</w:t>
            </w:r>
          </w:p>
        </w:tc>
      </w:tr>
      <w:tr w:rsidR="00D074EA" w:rsidRPr="009E6645" w14:paraId="53CBD8B0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3E459390" w14:textId="77777777" w:rsidR="00D074EA" w:rsidRPr="009E6645" w:rsidRDefault="00D074EA" w:rsidP="00D07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28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0E3AE20B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Metal cevherleri, döküntüleri, hurdaları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749A" w14:textId="77777777" w:rsidR="00D074EA" w:rsidRPr="009E6645" w:rsidRDefault="00D074EA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color w:val="000000"/>
                <w:lang w:val="en-US" w:eastAsia="en-US"/>
              </w:rPr>
              <w:t>72</w:t>
            </w:r>
            <w:r w:rsidR="002C104F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</w:tr>
      <w:tr w:rsidR="00D074EA" w:rsidRPr="009E6645" w14:paraId="5FF5A39F" w14:textId="77777777" w:rsidTr="00D074EA">
        <w:trPr>
          <w:trHeight w:val="10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03D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E8FB801" w14:textId="77777777" w:rsidR="00D074EA" w:rsidRPr="009E6645" w:rsidRDefault="00D074EA" w:rsidP="00D074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9E6645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E205" w14:textId="77777777" w:rsidR="00D074EA" w:rsidRPr="009E6645" w:rsidRDefault="002C104F" w:rsidP="00D0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20,924</w:t>
            </w:r>
          </w:p>
        </w:tc>
      </w:tr>
    </w:tbl>
    <w:p w14:paraId="6D92E160" w14:textId="77777777" w:rsidR="00B61CAE" w:rsidRPr="009C3D5A" w:rsidRDefault="00B61CAE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14:paraId="36DD1F2E" w14:textId="77777777" w:rsidR="004E7AA7" w:rsidRPr="00207D30" w:rsidRDefault="004E7AA7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14:paraId="5C01F290" w14:textId="77777777" w:rsidR="00B61CAE" w:rsidRDefault="00B61CAE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14:paraId="51C369C2" w14:textId="77777777"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14:paraId="50BD2373" w14:textId="77777777" w:rsidR="00D074EA" w:rsidRDefault="00D074EA" w:rsidP="00D074EA">
      <w:pPr>
        <w:jc w:val="both"/>
      </w:pPr>
      <w:r w:rsidRPr="009C3D5A">
        <w:t>Se</w:t>
      </w:r>
      <w:r>
        <w:t>ktörel ihracatta ise, 2017</w:t>
      </w:r>
      <w:r w:rsidRPr="009C3D5A">
        <w:t xml:space="preserve"> </w:t>
      </w:r>
      <w:r w:rsidR="002C104F">
        <w:t>Mayıs ayında Türkiye 2.</w:t>
      </w:r>
      <w:r>
        <w:t>1</w:t>
      </w:r>
      <w:r w:rsidRPr="009C3D5A">
        <w:t xml:space="preserve"> milyar dolarlık </w:t>
      </w:r>
      <w:r>
        <w:t>m</w:t>
      </w:r>
      <w:r w:rsidRPr="009E6645">
        <w:t>oto</w:t>
      </w:r>
      <w:r>
        <w:t>rlu kara taşıtları, bisiklet ve</w:t>
      </w:r>
      <w:r w:rsidRPr="009E6645">
        <w:t xml:space="preserve"> motosikletler, bunların aksam ve parçası </w:t>
      </w:r>
      <w:r w:rsidRPr="009C3D5A">
        <w:t xml:space="preserve">ihracatı yapmıştır. Sektörü </w:t>
      </w:r>
      <w:r w:rsidR="002C104F">
        <w:t>1.</w:t>
      </w:r>
      <w:r>
        <w:t>2</w:t>
      </w:r>
      <w:r w:rsidRPr="009C3D5A">
        <w:t xml:space="preserve"> milyar dolar ile </w:t>
      </w:r>
      <w:r>
        <w:t>g</w:t>
      </w:r>
      <w:r w:rsidRPr="009E6645">
        <w:t>iyim eşyası ve bunların aksesuarları</w:t>
      </w:r>
      <w:r>
        <w:t xml:space="preserve"> </w:t>
      </w:r>
      <w:r w:rsidRPr="009C3D5A">
        <w:t xml:space="preserve">ve </w:t>
      </w:r>
      <w:r>
        <w:t>961 milyon</w:t>
      </w:r>
      <w:r w:rsidRPr="009C3D5A">
        <w:t xml:space="preserve"> dolar ile </w:t>
      </w:r>
      <w:r>
        <w:t>teksti</w:t>
      </w:r>
      <w:r w:rsidR="008D17ED">
        <w:t>l</w:t>
      </w:r>
      <w:r>
        <w:t xml:space="preserve"> ürünleri (iplik, kumaş, yer kaplamaları, hazır eşya)</w:t>
      </w:r>
      <w:r w:rsidRPr="009C3D5A">
        <w:t xml:space="preserve"> ihracatı takip etmektedir. İthalatta ise </w:t>
      </w:r>
      <w:r w:rsidR="002C104F">
        <w:t>ilk sırayı 2.</w:t>
      </w:r>
      <w:r>
        <w:t>1</w:t>
      </w:r>
      <w:r w:rsidRPr="009C3D5A">
        <w:t xml:space="preserve"> milyar dolarlık ithalatı ile </w:t>
      </w:r>
      <w:r>
        <w:t>a</w:t>
      </w:r>
      <w:r w:rsidRPr="009E6645">
        <w:t>ltın,</w:t>
      </w:r>
      <w:r w:rsidR="008D17ED">
        <w:t xml:space="preserve"> </w:t>
      </w:r>
      <w:r w:rsidRPr="009E6645">
        <w:t>parasal olmayan (altın madeni ve konsantreleri hariç)</w:t>
      </w:r>
      <w:r w:rsidR="002C104F">
        <w:t xml:space="preserve"> alırken onu 1.</w:t>
      </w:r>
      <w:r>
        <w:t>7</w:t>
      </w:r>
      <w:r w:rsidR="008D17ED">
        <w:t xml:space="preserve"> milyar dolar</w:t>
      </w:r>
      <w:r>
        <w:t xml:space="preserve"> ile </w:t>
      </w:r>
      <w:r w:rsidRPr="009C3D5A">
        <w:t xml:space="preserve"> </w:t>
      </w:r>
      <w:r w:rsidRPr="002117E9">
        <w:t>aç</w:t>
      </w:r>
      <w:r>
        <w:t>ıklanmayan (Gizli veri) ürünler</w:t>
      </w:r>
      <w:r w:rsidRPr="009C3D5A">
        <w:t xml:space="preserve"> ve </w:t>
      </w:r>
      <w:r w:rsidR="002C104F">
        <w:t>1.</w:t>
      </w:r>
      <w:r>
        <w:t>5</w:t>
      </w:r>
      <w:r w:rsidRPr="009C3D5A">
        <w:t xml:space="preserve"> </w:t>
      </w:r>
      <w:r>
        <w:t>milyar</w:t>
      </w:r>
      <w:r w:rsidRPr="009C3D5A">
        <w:t xml:space="preserve"> dolarlık ithalatı ile </w:t>
      </w:r>
      <w:r w:rsidR="008D17ED">
        <w:t>m</w:t>
      </w:r>
      <w:r w:rsidRPr="002117E9">
        <w:t xml:space="preserve">otorlu kara taşıtları, bisiklet ver motosikletler, bunların aksam ve parçası </w:t>
      </w:r>
      <w:r>
        <w:t xml:space="preserve">takip </w:t>
      </w:r>
      <w:r w:rsidRPr="009C3D5A">
        <w:t xml:space="preserve">etmektedir. </w:t>
      </w:r>
    </w:p>
    <w:p w14:paraId="0305C2CE" w14:textId="77777777" w:rsidR="00207D30" w:rsidRPr="00207D30" w:rsidRDefault="00207D30" w:rsidP="00207D30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milyon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Mayıs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8666" w:type="dxa"/>
        <w:tblInd w:w="93" w:type="dxa"/>
        <w:tblLook w:val="04A0" w:firstRow="1" w:lastRow="0" w:firstColumn="1" w:lastColumn="0" w:noHBand="0" w:noVBand="1"/>
      </w:tblPr>
      <w:tblGrid>
        <w:gridCol w:w="2567"/>
        <w:gridCol w:w="2977"/>
        <w:gridCol w:w="3122"/>
      </w:tblGrid>
      <w:tr w:rsidR="00207D30" w:rsidRPr="00207D30" w14:paraId="3F4830A6" w14:textId="77777777" w:rsidTr="00207D30">
        <w:trPr>
          <w:trHeight w:val="232"/>
        </w:trPr>
        <w:tc>
          <w:tcPr>
            <w:tcW w:w="2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0F0F0C04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4F4CAB41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312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4B52B720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207D30" w:rsidRPr="00207D30" w14:paraId="595C688D" w14:textId="77777777" w:rsidTr="00207D3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F7F2AF8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 imalat sanayi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3DB0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12,865</w:t>
            </w:r>
          </w:p>
        </w:tc>
        <w:tc>
          <w:tcPr>
            <w:tcW w:w="3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81BA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207D30" w:rsidRPr="00207D30" w14:paraId="568C7B98" w14:textId="77777777" w:rsidTr="00207D3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923DAF7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053A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758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778E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</w:tr>
      <w:tr w:rsidR="00207D30" w:rsidRPr="00207D30" w14:paraId="06E5E865" w14:textId="77777777" w:rsidTr="00207D3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66E5D8B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89D8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4,416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EFF8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34.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</w:tr>
      <w:tr w:rsidR="00207D30" w:rsidRPr="00207D30" w14:paraId="0136F5CD" w14:textId="77777777" w:rsidTr="00207D3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D11225D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220D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3,587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2583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</w:tr>
      <w:tr w:rsidR="00207D30" w:rsidRPr="00207D30" w14:paraId="0A4DFBD1" w14:textId="77777777" w:rsidTr="00207D3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34805978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1993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4,104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FE98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31.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</w:tr>
    </w:tbl>
    <w:p w14:paraId="6CC2384C" w14:textId="77777777"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pPr w:leftFromText="180" w:rightFromText="180" w:vertAnchor="text" w:horzAnchor="margin" w:tblpX="108" w:tblpY="-26"/>
        <w:tblW w:w="8624" w:type="dxa"/>
        <w:tblLook w:val="04A0" w:firstRow="1" w:lastRow="0" w:firstColumn="1" w:lastColumn="0" w:noHBand="0" w:noVBand="1"/>
      </w:tblPr>
      <w:tblGrid>
        <w:gridCol w:w="2518"/>
        <w:gridCol w:w="2977"/>
        <w:gridCol w:w="3129"/>
      </w:tblGrid>
      <w:tr w:rsidR="00207D30" w:rsidRPr="00207D30" w14:paraId="2B91FAA1" w14:textId="77777777" w:rsidTr="00207D30">
        <w:trPr>
          <w:trHeight w:val="201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71F69E5D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1D263F36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312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14:paraId="5F53C3F8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207D30" w:rsidRPr="00207D30" w14:paraId="12A211FB" w14:textId="77777777" w:rsidTr="00207D30">
        <w:trPr>
          <w:trHeight w:val="201"/>
        </w:trPr>
        <w:tc>
          <w:tcPr>
            <w:tcW w:w="25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1A48BDCB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 imalat sanayi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DD46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16,955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C00A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207D30" w:rsidRPr="00207D30" w14:paraId="3BB98888" w14:textId="77777777" w:rsidTr="00207D30">
        <w:trPr>
          <w:trHeight w:val="201"/>
        </w:trPr>
        <w:tc>
          <w:tcPr>
            <w:tcW w:w="25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E98958F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84CF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2,323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EEC3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13.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</w:tr>
      <w:tr w:rsidR="00207D30" w:rsidRPr="00207D30" w14:paraId="38493804" w14:textId="77777777" w:rsidTr="00207D30">
        <w:trPr>
          <w:trHeight w:val="201"/>
        </w:trPr>
        <w:tc>
          <w:tcPr>
            <w:tcW w:w="25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57B78D24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7FB6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6,829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3698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40.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</w:tr>
      <w:tr w:rsidR="00207D30" w:rsidRPr="00207D30" w14:paraId="6ED39E34" w14:textId="77777777" w:rsidTr="00207D30">
        <w:trPr>
          <w:trHeight w:val="201"/>
        </w:trPr>
        <w:tc>
          <w:tcPr>
            <w:tcW w:w="25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6BF6C046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40ED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5,958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BBE9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35.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</w:tr>
      <w:tr w:rsidR="00207D30" w:rsidRPr="00207D30" w14:paraId="17FEA1EC" w14:textId="77777777" w:rsidTr="00207D30">
        <w:trPr>
          <w:trHeight w:val="201"/>
        </w:trPr>
        <w:tc>
          <w:tcPr>
            <w:tcW w:w="25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14:paraId="47691272" w14:textId="77777777" w:rsidR="00207D30" w:rsidRPr="00207D30" w:rsidRDefault="00207D30" w:rsidP="00207D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 teknoloji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8C70" w14:textId="77777777" w:rsidR="00207D30" w:rsidRPr="00207D30" w:rsidRDefault="00207D30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1,845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632D" w14:textId="77777777" w:rsidR="00207D30" w:rsidRPr="00207D30" w:rsidRDefault="002C104F" w:rsidP="0020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10.</w:t>
            </w:r>
            <w:r w:rsidR="00207D30" w:rsidRPr="0020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</w:tr>
    </w:tbl>
    <w:p w14:paraId="1E9695DB" w14:textId="77777777"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14:paraId="11FFB21A" w14:textId="77777777"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14:paraId="1960441F" w14:textId="77777777"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Pr="009C3D5A">
        <w:t xml:space="preserve"> </w:t>
      </w:r>
      <w:r w:rsidR="00D074EA">
        <w:t>Mayıs</w:t>
      </w:r>
      <w:r w:rsidR="007C155D" w:rsidRPr="009C3D5A">
        <w:t xml:space="preserve"> ayında </w:t>
      </w:r>
      <w:r w:rsidRPr="009C3D5A">
        <w:t>imalat sanayi ürünlerinin toplam ihracattaki payı yüzde 94</w:t>
      </w:r>
      <w:r w:rsidR="002C104F">
        <w:t>.</w:t>
      </w:r>
      <w:r w:rsidR="00D074EA">
        <w:t>5</w:t>
      </w:r>
      <w:r w:rsidRPr="009C3D5A">
        <w:t xml:space="preserve"> olup, </w:t>
      </w:r>
      <w:r w:rsidR="00C1467F">
        <w:t>yüksek</w:t>
      </w:r>
      <w:r w:rsidRPr="009C3D5A">
        <w:t xml:space="preserve"> teknoloji</w:t>
      </w:r>
      <w:r w:rsidR="00C1467F">
        <w:t>li</w:t>
      </w:r>
      <w:r w:rsidRPr="009C3D5A">
        <w:t xml:space="preserve"> ürünlerinin imalat sanayi </w:t>
      </w:r>
      <w:r w:rsidR="00D074EA">
        <w:t>ihracatı içindeki payı yüzde 5</w:t>
      </w:r>
      <w:r w:rsidR="002C104F">
        <w:t>.</w:t>
      </w:r>
      <w:r w:rsidR="00D074EA">
        <w:t>9</w:t>
      </w:r>
      <w:r w:rsidRPr="009C3D5A">
        <w:t xml:space="preserve">,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D074EA">
        <w:t>34</w:t>
      </w:r>
      <w:r w:rsidR="002C104F">
        <w:t>.</w:t>
      </w:r>
      <w:r w:rsidR="00C1467F">
        <w:t>3’tür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D074EA">
        <w:t>nayi ürünlerinin payı yüzde 81</w:t>
      </w:r>
      <w:r w:rsidR="00E27E57" w:rsidRPr="009C3D5A">
        <w:t xml:space="preserve"> olup,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ürünlerinin imalat sanayi ürünle</w:t>
      </w:r>
      <w:r w:rsidR="00C1467F">
        <w:t>ri it</w:t>
      </w:r>
      <w:r w:rsidR="002C104F">
        <w:t>halatındaki payı yüzde 13.</w:t>
      </w:r>
      <w:r w:rsidR="00D074EA">
        <w:t>7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C1467F">
        <w:t>li ürünlerin payı ise yüzde 4</w:t>
      </w:r>
      <w:r w:rsidR="002C104F">
        <w:t>0.</w:t>
      </w:r>
      <w:r w:rsidR="00D074EA">
        <w:t>3</w:t>
      </w:r>
      <w:r w:rsidR="00C1467F">
        <w:t>’tür</w:t>
      </w:r>
      <w:r w:rsidR="00E27E57" w:rsidRPr="009C3D5A">
        <w:t>.</w:t>
      </w:r>
      <w:r w:rsidR="00E27E57" w:rsidRPr="00DD6AA5">
        <w:t xml:space="preserve"> </w:t>
      </w:r>
    </w:p>
    <w:p w14:paraId="1D222757" w14:textId="77777777" w:rsidR="00CE7503" w:rsidRPr="00DD6AA5" w:rsidRDefault="00CE7503"/>
    <w:p w14:paraId="424BF26C" w14:textId="77777777" w:rsidR="006A09A3" w:rsidRPr="00DD6AA5" w:rsidRDefault="006A09A3"/>
    <w:p w14:paraId="769FED73" w14:textId="77777777"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B1BC" w14:textId="77777777" w:rsidR="002C104F" w:rsidRDefault="002C104F" w:rsidP="00F43AC2">
      <w:pPr>
        <w:spacing w:after="0" w:line="240" w:lineRule="auto"/>
      </w:pPr>
      <w:r>
        <w:separator/>
      </w:r>
    </w:p>
  </w:endnote>
  <w:endnote w:type="continuationSeparator" w:id="0">
    <w:p w14:paraId="30633FDA" w14:textId="77777777" w:rsidR="002C104F" w:rsidRDefault="002C104F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14:paraId="00A5545E" w14:textId="77777777" w:rsidR="002C104F" w:rsidRDefault="002C1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25424" w14:textId="77777777" w:rsidR="002C104F" w:rsidRDefault="002C10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C49" w14:textId="77777777" w:rsidR="002C104F" w:rsidRDefault="002C104F" w:rsidP="00F43AC2">
      <w:pPr>
        <w:spacing w:after="0" w:line="240" w:lineRule="auto"/>
      </w:pPr>
      <w:r>
        <w:separator/>
      </w:r>
    </w:p>
  </w:footnote>
  <w:footnote w:type="continuationSeparator" w:id="0">
    <w:p w14:paraId="09087F2D" w14:textId="77777777" w:rsidR="002C104F" w:rsidRDefault="002C104F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24004"/>
    <w:rsid w:val="00024E59"/>
    <w:rsid w:val="00030B38"/>
    <w:rsid w:val="00034A51"/>
    <w:rsid w:val="00037115"/>
    <w:rsid w:val="00047CE7"/>
    <w:rsid w:val="00066999"/>
    <w:rsid w:val="000B0F76"/>
    <w:rsid w:val="000E09A3"/>
    <w:rsid w:val="00134344"/>
    <w:rsid w:val="001F5C25"/>
    <w:rsid w:val="00207D30"/>
    <w:rsid w:val="002117E9"/>
    <w:rsid w:val="002157EE"/>
    <w:rsid w:val="0023568E"/>
    <w:rsid w:val="00240215"/>
    <w:rsid w:val="00254707"/>
    <w:rsid w:val="00270B23"/>
    <w:rsid w:val="00273DDB"/>
    <w:rsid w:val="00284EE7"/>
    <w:rsid w:val="0029300F"/>
    <w:rsid w:val="002B628C"/>
    <w:rsid w:val="002B763F"/>
    <w:rsid w:val="002C104F"/>
    <w:rsid w:val="002E6E48"/>
    <w:rsid w:val="00314005"/>
    <w:rsid w:val="003367F9"/>
    <w:rsid w:val="003D0EA9"/>
    <w:rsid w:val="003F4F3D"/>
    <w:rsid w:val="00412B6A"/>
    <w:rsid w:val="00421039"/>
    <w:rsid w:val="004602F8"/>
    <w:rsid w:val="00472AF7"/>
    <w:rsid w:val="0048257F"/>
    <w:rsid w:val="004D49AB"/>
    <w:rsid w:val="004E0C1E"/>
    <w:rsid w:val="004E7AA7"/>
    <w:rsid w:val="004F0E9E"/>
    <w:rsid w:val="00501781"/>
    <w:rsid w:val="005A735F"/>
    <w:rsid w:val="005D6CB6"/>
    <w:rsid w:val="006006DA"/>
    <w:rsid w:val="0060716F"/>
    <w:rsid w:val="00635D39"/>
    <w:rsid w:val="006538E8"/>
    <w:rsid w:val="00672626"/>
    <w:rsid w:val="00676E49"/>
    <w:rsid w:val="006864AB"/>
    <w:rsid w:val="006A09A3"/>
    <w:rsid w:val="006C1C96"/>
    <w:rsid w:val="006D5432"/>
    <w:rsid w:val="006E3C93"/>
    <w:rsid w:val="006E7CD2"/>
    <w:rsid w:val="00764636"/>
    <w:rsid w:val="00790C7B"/>
    <w:rsid w:val="007C155D"/>
    <w:rsid w:val="007F367A"/>
    <w:rsid w:val="007F50E4"/>
    <w:rsid w:val="00820484"/>
    <w:rsid w:val="00831B3B"/>
    <w:rsid w:val="00847FC9"/>
    <w:rsid w:val="00867C71"/>
    <w:rsid w:val="00886790"/>
    <w:rsid w:val="00890E8A"/>
    <w:rsid w:val="008A1816"/>
    <w:rsid w:val="008B246F"/>
    <w:rsid w:val="008D17ED"/>
    <w:rsid w:val="008F7528"/>
    <w:rsid w:val="009435E7"/>
    <w:rsid w:val="0094521C"/>
    <w:rsid w:val="0095258A"/>
    <w:rsid w:val="00955246"/>
    <w:rsid w:val="0097055D"/>
    <w:rsid w:val="009C3D5A"/>
    <w:rsid w:val="009E6645"/>
    <w:rsid w:val="00A13941"/>
    <w:rsid w:val="00A2009E"/>
    <w:rsid w:val="00A62888"/>
    <w:rsid w:val="00A6670C"/>
    <w:rsid w:val="00A86AF1"/>
    <w:rsid w:val="00A9435C"/>
    <w:rsid w:val="00AD00C3"/>
    <w:rsid w:val="00AF5794"/>
    <w:rsid w:val="00B1525D"/>
    <w:rsid w:val="00B27572"/>
    <w:rsid w:val="00B61CAE"/>
    <w:rsid w:val="00B772CF"/>
    <w:rsid w:val="00B77C4F"/>
    <w:rsid w:val="00B861B5"/>
    <w:rsid w:val="00BB3701"/>
    <w:rsid w:val="00BC608C"/>
    <w:rsid w:val="00BF70F9"/>
    <w:rsid w:val="00C13B06"/>
    <w:rsid w:val="00C1467F"/>
    <w:rsid w:val="00C1695B"/>
    <w:rsid w:val="00C21BFE"/>
    <w:rsid w:val="00C7379E"/>
    <w:rsid w:val="00CA31BE"/>
    <w:rsid w:val="00CB0A4D"/>
    <w:rsid w:val="00CC376F"/>
    <w:rsid w:val="00CE7503"/>
    <w:rsid w:val="00D074EA"/>
    <w:rsid w:val="00D07D01"/>
    <w:rsid w:val="00D61B49"/>
    <w:rsid w:val="00D80CC9"/>
    <w:rsid w:val="00DB20D7"/>
    <w:rsid w:val="00DB359A"/>
    <w:rsid w:val="00DC15D2"/>
    <w:rsid w:val="00DC5CA2"/>
    <w:rsid w:val="00DD6AA5"/>
    <w:rsid w:val="00E07918"/>
    <w:rsid w:val="00E20164"/>
    <w:rsid w:val="00E27E57"/>
    <w:rsid w:val="00E34DEB"/>
    <w:rsid w:val="00E551E6"/>
    <w:rsid w:val="00E83CB2"/>
    <w:rsid w:val="00E86C2E"/>
    <w:rsid w:val="00E90F1D"/>
    <w:rsid w:val="00E92FFF"/>
    <w:rsid w:val="00EB3D95"/>
    <w:rsid w:val="00F11B62"/>
    <w:rsid w:val="00F3379C"/>
    <w:rsid w:val="00F43AC2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9A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F43AC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A7"/>
    <w:rPr>
      <w:rFonts w:asciiTheme="minorHAnsi" w:eastAsiaTheme="minorEastAsia" w:hAnsiTheme="minorHAnsi"/>
      <w:lang w:eastAsia="tr-TR"/>
    </w:rPr>
  </w:style>
  <w:style w:type="table" w:styleId="MediumShading2-Accent1">
    <w:name w:val="Medium Shading 2 Accent 1"/>
    <w:basedOn w:val="TableNormal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F43AC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A7"/>
    <w:rPr>
      <w:rFonts w:asciiTheme="minorHAnsi" w:eastAsiaTheme="minorEastAsia" w:hAnsiTheme="minorHAnsi"/>
      <w:lang w:eastAsia="tr-TR"/>
    </w:rPr>
  </w:style>
  <w:style w:type="table" w:styleId="MediumShading2-Accent1">
    <w:name w:val="Medium Shading 2 Accent 1"/>
    <w:basedOn w:val="TableNormal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May&#305;s_2017_d&#305;&#351;ticaret_tablol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242664901831017"/>
          <c:y val="0.0723694850845682"/>
          <c:w val="0.951467019633797"/>
          <c:h val="0.569721469686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Sayfa2!$M$3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0.0"/>
                  <c:y val="-0.0156862745098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0858829844337091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64412238325281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Sayfa2!$L$4:$L$15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Sayfa2!$M$4:$M$15</c:f>
              <c:numCache>
                <c:formatCode>0.00</c:formatCode>
                <c:ptCount val="12"/>
                <c:pt idx="0">
                  <c:v>9.546156588</c:v>
                </c:pt>
                <c:pt idx="1">
                  <c:v>12.366386674</c:v>
                </c:pt>
                <c:pt idx="2">
                  <c:v>12.757585888</c:v>
                </c:pt>
                <c:pt idx="3">
                  <c:v>11.950583628</c:v>
                </c:pt>
                <c:pt idx="4">
                  <c:v>12.098852969</c:v>
                </c:pt>
                <c:pt idx="5">
                  <c:v>12.864361968</c:v>
                </c:pt>
                <c:pt idx="6">
                  <c:v>9.850027475</c:v>
                </c:pt>
                <c:pt idx="7">
                  <c:v>11.83089696</c:v>
                </c:pt>
                <c:pt idx="8">
                  <c:v>10.901878189</c:v>
                </c:pt>
                <c:pt idx="9">
                  <c:v>12.796031494</c:v>
                </c:pt>
                <c:pt idx="10">
                  <c:v>12.787214966</c:v>
                </c:pt>
                <c:pt idx="11">
                  <c:v>12.780565443</c:v>
                </c:pt>
              </c:numCache>
            </c:numRef>
          </c:val>
        </c:ser>
        <c:ser>
          <c:idx val="1"/>
          <c:order val="1"/>
          <c:tx>
            <c:strRef>
              <c:f>Sayfa2!$N$3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1"/>
              <c:layout>
                <c:manualLayout>
                  <c:x val="0.00441176496131108"/>
                  <c:y val="0.0114942528735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Sayfa2!$L$4:$L$15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Sayfa2!$N$4:$N$15</c:f>
              <c:numCache>
                <c:formatCode>0.00</c:formatCode>
                <c:ptCount val="12"/>
                <c:pt idx="0">
                  <c:v>11.252222225</c:v>
                </c:pt>
                <c:pt idx="1">
                  <c:v>12.094446308</c:v>
                </c:pt>
                <c:pt idx="2">
                  <c:v>14.47909782</c:v>
                </c:pt>
                <c:pt idx="3">
                  <c:v>12.870826098</c:v>
                </c:pt>
                <c:pt idx="4">
                  <c:v>13.616430743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2113736168"/>
        <c:axId val="-2127240408"/>
      </c:barChart>
      <c:catAx>
        <c:axId val="-2113736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en-US"/>
          </a:p>
        </c:txPr>
        <c:crossAx val="-2127240408"/>
        <c:crosses val="autoZero"/>
        <c:auto val="1"/>
        <c:lblAlgn val="ctr"/>
        <c:lblOffset val="100"/>
        <c:noMultiLvlLbl val="0"/>
      </c:catAx>
      <c:valAx>
        <c:axId val="-212724040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-21137361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Sayfa2!$Q$3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0.0"/>
                  <c:y val="0.00966183574879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654664484451718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Sayfa2!$P$4:$P$15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Sayfa2!$Q$4:$Q$15</c:f>
              <c:numCache>
                <c:formatCode>0.00</c:formatCode>
                <c:ptCount val="12"/>
                <c:pt idx="0">
                  <c:v>13.452704615</c:v>
                </c:pt>
                <c:pt idx="1">
                  <c:v>15.577768097</c:v>
                </c:pt>
                <c:pt idx="2">
                  <c:v>17.76579827699998</c:v>
                </c:pt>
                <c:pt idx="3">
                  <c:v>16.187634911</c:v>
                </c:pt>
                <c:pt idx="4">
                  <c:v>17.19655112</c:v>
                </c:pt>
                <c:pt idx="5">
                  <c:v>19.476223171</c:v>
                </c:pt>
                <c:pt idx="6">
                  <c:v>14.694996423</c:v>
                </c:pt>
                <c:pt idx="7">
                  <c:v>16.614060155</c:v>
                </c:pt>
                <c:pt idx="8">
                  <c:v>15.297881163</c:v>
                </c:pt>
                <c:pt idx="9">
                  <c:v>17.008475582</c:v>
                </c:pt>
                <c:pt idx="10">
                  <c:v>16.934490957</c:v>
                </c:pt>
                <c:pt idx="11">
                  <c:v>18.410190177</c:v>
                </c:pt>
              </c:numCache>
            </c:numRef>
          </c:val>
        </c:ser>
        <c:ser>
          <c:idx val="1"/>
          <c:order val="1"/>
          <c:tx>
            <c:strRef>
              <c:f>Sayfa2!$R$3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1"/>
              <c:layout>
                <c:manualLayout>
                  <c:x val="0.0"/>
                  <c:y val="-0.0144927536231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Sayfa2!$P$4:$P$15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Sayfa2!$R$4:$R$15</c:f>
              <c:numCache>
                <c:formatCode>0.00</c:formatCode>
                <c:ptCount val="12"/>
                <c:pt idx="0">
                  <c:v>15.591883848</c:v>
                </c:pt>
                <c:pt idx="1">
                  <c:v>15.825794443</c:v>
                </c:pt>
                <c:pt idx="2">
                  <c:v>19.018060959</c:v>
                </c:pt>
                <c:pt idx="3">
                  <c:v>17.786914046</c:v>
                </c:pt>
                <c:pt idx="4">
                  <c:v>20.923466237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2110728360"/>
        <c:axId val="-2126184152"/>
      </c:barChart>
      <c:catAx>
        <c:axId val="-21107283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en-US"/>
          </a:p>
        </c:txPr>
        <c:crossAx val="-2126184152"/>
        <c:crosses val="autoZero"/>
        <c:auto val="1"/>
        <c:lblAlgn val="ctr"/>
        <c:lblOffset val="100"/>
        <c:noMultiLvlLbl val="0"/>
      </c:catAx>
      <c:valAx>
        <c:axId val="-212618415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-21107283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2AD-FD95-D243-98F3-80B08703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Bengisu</cp:lastModifiedBy>
  <cp:revision>3</cp:revision>
  <dcterms:created xsi:type="dcterms:W3CDTF">2017-06-30T11:40:00Z</dcterms:created>
  <dcterms:modified xsi:type="dcterms:W3CDTF">2017-06-30T11:48:00Z</dcterms:modified>
</cp:coreProperties>
</file>